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22F" w:rsidRPr="00501165" w:rsidRDefault="0043322F" w:rsidP="0043322F">
      <w:pPr>
        <w:jc w:val="center"/>
        <w:rPr>
          <w:rFonts w:asciiTheme="majorHAnsi" w:hAnsiTheme="majorHAnsi" w:cs="Helvetica"/>
          <w:b/>
          <w:bCs/>
          <w:sz w:val="20"/>
          <w:szCs w:val="20"/>
        </w:rPr>
      </w:pPr>
      <w:r w:rsidRPr="00501165">
        <w:rPr>
          <w:rFonts w:asciiTheme="majorHAnsi" w:hAnsiTheme="majorHAnsi" w:cs="Helvetica"/>
          <w:b/>
          <w:bCs/>
          <w:sz w:val="20"/>
          <w:szCs w:val="20"/>
        </w:rPr>
        <w:t>Getinge Ultrasonic Cleaner</w:t>
      </w:r>
    </w:p>
    <w:p w:rsidR="0043322F" w:rsidRPr="00501165" w:rsidRDefault="0043322F" w:rsidP="0043322F">
      <w:pPr>
        <w:shd w:val="clear" w:color="auto" w:fill="FFFFFF"/>
        <w:spacing w:after="300" w:line="240" w:lineRule="auto"/>
        <w:rPr>
          <w:rFonts w:asciiTheme="majorHAnsi" w:eastAsia="Times New Roman" w:hAnsiTheme="majorHAnsi" w:cs="Helvetica"/>
          <w:bCs/>
          <w:sz w:val="20"/>
          <w:szCs w:val="20"/>
        </w:rPr>
      </w:pPr>
      <w:r w:rsidRPr="0043322F">
        <w:rPr>
          <w:rFonts w:asciiTheme="majorHAnsi" w:eastAsia="Times New Roman" w:hAnsiTheme="majorHAnsi" w:cs="Helvetica"/>
          <w:bCs/>
          <w:sz w:val="20"/>
          <w:szCs w:val="20"/>
        </w:rPr>
        <w:t>Getinge Ultrasonic is a full range of high-quality, easy-to-use worktop ultrasonic cleaners that include practically every technical feature available. The models in the new series increase the ultrasonic eff</w:t>
      </w:r>
      <w:bookmarkStart w:id="0" w:name="_GoBack"/>
      <w:bookmarkEnd w:id="0"/>
      <w:r w:rsidRPr="0043322F">
        <w:rPr>
          <w:rFonts w:asciiTheme="majorHAnsi" w:eastAsia="Times New Roman" w:hAnsiTheme="majorHAnsi" w:cs="Helvetica"/>
          <w:bCs/>
          <w:sz w:val="20"/>
          <w:szCs w:val="20"/>
        </w:rPr>
        <w:t>ect further to achieve great results.</w:t>
      </w:r>
    </w:p>
    <w:p w:rsidR="0043322F" w:rsidRPr="0043322F" w:rsidRDefault="0043322F" w:rsidP="0043322F">
      <w:pPr>
        <w:shd w:val="clear" w:color="auto" w:fill="FFFFFF"/>
        <w:spacing w:after="300" w:line="240" w:lineRule="auto"/>
        <w:rPr>
          <w:rFonts w:asciiTheme="majorHAnsi" w:eastAsia="Times New Roman" w:hAnsiTheme="majorHAnsi" w:cs="Helvetica"/>
          <w:bCs/>
          <w:sz w:val="20"/>
          <w:szCs w:val="20"/>
        </w:rPr>
      </w:pPr>
      <w:r w:rsidRPr="0043322F">
        <w:rPr>
          <w:rFonts w:asciiTheme="majorHAnsi" w:eastAsia="Times New Roman" w:hAnsiTheme="majorHAnsi" w:cs="Helvetica"/>
          <w:bCs/>
          <w:sz w:val="20"/>
          <w:szCs w:val="20"/>
        </w:rPr>
        <w:t>The reliable technology, in combination with the materials used, prolongs the</w:t>
      </w:r>
      <w:r w:rsidRPr="00501165">
        <w:rPr>
          <w:rFonts w:asciiTheme="majorHAnsi" w:eastAsia="Times New Roman" w:hAnsiTheme="majorHAnsi" w:cs="Helvetica"/>
          <w:bCs/>
          <w:sz w:val="20"/>
          <w:szCs w:val="20"/>
        </w:rPr>
        <w:t xml:space="preserve"> </w:t>
      </w:r>
      <w:r w:rsidRPr="0043322F">
        <w:rPr>
          <w:rFonts w:asciiTheme="majorHAnsi" w:eastAsia="Times New Roman" w:hAnsiTheme="majorHAnsi" w:cs="Helvetica"/>
          <w:bCs/>
          <w:sz w:val="20"/>
          <w:szCs w:val="20"/>
        </w:rPr>
        <w:t>service life of the units, while the design combines functionality with modern looks.</w:t>
      </w:r>
    </w:p>
    <w:p w:rsidR="0043322F" w:rsidRPr="00501165" w:rsidRDefault="0043322F" w:rsidP="0043322F">
      <w:pPr>
        <w:rPr>
          <w:rFonts w:asciiTheme="majorHAnsi" w:hAnsiTheme="majorHAnsi"/>
          <w:b/>
          <w:noProof/>
          <w:sz w:val="20"/>
          <w:szCs w:val="20"/>
        </w:rPr>
      </w:pPr>
      <w:r w:rsidRPr="00501165">
        <w:rPr>
          <w:rFonts w:asciiTheme="majorHAnsi" w:hAnsiTheme="majorHAnsi"/>
          <w:b/>
          <w:noProof/>
          <w:sz w:val="20"/>
          <w:szCs w:val="20"/>
        </w:rPr>
        <w:t>Key Features</w:t>
      </w:r>
    </w:p>
    <w:p w:rsidR="0043322F" w:rsidRPr="0043322F" w:rsidRDefault="0043322F" w:rsidP="0043322F">
      <w:pPr>
        <w:numPr>
          <w:ilvl w:val="0"/>
          <w:numId w:val="2"/>
        </w:numPr>
        <w:shd w:val="clear" w:color="auto" w:fill="FFFFFF"/>
        <w:spacing w:after="0" w:line="240" w:lineRule="auto"/>
        <w:ind w:left="600"/>
        <w:rPr>
          <w:rFonts w:asciiTheme="majorHAnsi" w:eastAsia="Times New Roman" w:hAnsiTheme="majorHAnsi" w:cs="Helvetica"/>
          <w:sz w:val="20"/>
          <w:szCs w:val="20"/>
        </w:rPr>
      </w:pPr>
      <w:r w:rsidRPr="0043322F">
        <w:rPr>
          <w:rFonts w:asciiTheme="majorHAnsi" w:eastAsia="Times New Roman" w:hAnsiTheme="majorHAnsi" w:cs="Helvetica"/>
          <w:sz w:val="20"/>
          <w:szCs w:val="20"/>
        </w:rPr>
        <w:t>The range is available from 6 to 45 liters with lid and an optional basket available for all models</w:t>
      </w:r>
    </w:p>
    <w:p w:rsidR="0043322F" w:rsidRPr="0043322F" w:rsidRDefault="0043322F" w:rsidP="0043322F">
      <w:pPr>
        <w:numPr>
          <w:ilvl w:val="0"/>
          <w:numId w:val="2"/>
        </w:numPr>
        <w:shd w:val="clear" w:color="auto" w:fill="FFFFFF"/>
        <w:spacing w:after="0" w:line="240" w:lineRule="auto"/>
        <w:ind w:left="600"/>
        <w:rPr>
          <w:rFonts w:asciiTheme="majorHAnsi" w:eastAsia="Times New Roman" w:hAnsiTheme="majorHAnsi" w:cs="Helvetica"/>
          <w:sz w:val="20"/>
          <w:szCs w:val="20"/>
        </w:rPr>
      </w:pPr>
      <w:r w:rsidRPr="0043322F">
        <w:rPr>
          <w:rFonts w:asciiTheme="majorHAnsi" w:eastAsia="Times New Roman" w:hAnsiTheme="majorHAnsi" w:cs="Helvetica"/>
          <w:sz w:val="20"/>
          <w:szCs w:val="20"/>
        </w:rPr>
        <w:t>Electronic time and temperature control &amp; auto start temperature-controlled / temperature pre-selection</w:t>
      </w:r>
    </w:p>
    <w:p w:rsidR="0043322F" w:rsidRPr="0043322F" w:rsidRDefault="0043322F" w:rsidP="0043322F">
      <w:pPr>
        <w:numPr>
          <w:ilvl w:val="0"/>
          <w:numId w:val="2"/>
        </w:numPr>
        <w:shd w:val="clear" w:color="auto" w:fill="FFFFFF"/>
        <w:spacing w:after="0" w:line="240" w:lineRule="auto"/>
        <w:ind w:left="600"/>
        <w:rPr>
          <w:rFonts w:asciiTheme="majorHAnsi" w:eastAsia="Times New Roman" w:hAnsiTheme="majorHAnsi" w:cs="Helvetica"/>
          <w:sz w:val="20"/>
          <w:szCs w:val="20"/>
        </w:rPr>
      </w:pPr>
      <w:r w:rsidRPr="0043322F">
        <w:rPr>
          <w:rFonts w:asciiTheme="majorHAnsi" w:eastAsia="Times New Roman" w:hAnsiTheme="majorHAnsi" w:cs="Helvetica"/>
          <w:sz w:val="20"/>
          <w:szCs w:val="20"/>
        </w:rPr>
        <w:t>High-performance transducer systems</w:t>
      </w:r>
    </w:p>
    <w:p w:rsidR="0043322F" w:rsidRPr="0043322F" w:rsidRDefault="0043322F" w:rsidP="0043322F">
      <w:pPr>
        <w:numPr>
          <w:ilvl w:val="0"/>
          <w:numId w:val="2"/>
        </w:numPr>
        <w:shd w:val="clear" w:color="auto" w:fill="FFFFFF"/>
        <w:spacing w:after="0" w:line="240" w:lineRule="auto"/>
        <w:ind w:left="600"/>
        <w:rPr>
          <w:rFonts w:asciiTheme="majorHAnsi" w:eastAsia="Times New Roman" w:hAnsiTheme="majorHAnsi" w:cs="Helvetica"/>
          <w:sz w:val="20"/>
          <w:szCs w:val="20"/>
        </w:rPr>
      </w:pPr>
      <w:r w:rsidRPr="0043322F">
        <w:rPr>
          <w:rFonts w:asciiTheme="majorHAnsi" w:eastAsia="Times New Roman" w:hAnsiTheme="majorHAnsi" w:cs="Helvetica"/>
          <w:sz w:val="20"/>
          <w:szCs w:val="20"/>
        </w:rPr>
        <w:t>Sweep function, assuring a homogeneous sound field distribution with continuous shifting of the sound field maxima</w:t>
      </w:r>
    </w:p>
    <w:p w:rsidR="0043322F" w:rsidRPr="0043322F" w:rsidRDefault="0043322F" w:rsidP="0043322F">
      <w:pPr>
        <w:numPr>
          <w:ilvl w:val="0"/>
          <w:numId w:val="2"/>
        </w:numPr>
        <w:shd w:val="clear" w:color="auto" w:fill="FFFFFF"/>
        <w:spacing w:after="0" w:line="240" w:lineRule="auto"/>
        <w:ind w:left="600"/>
        <w:rPr>
          <w:rFonts w:asciiTheme="majorHAnsi" w:eastAsia="Times New Roman" w:hAnsiTheme="majorHAnsi" w:cs="Helvetica"/>
          <w:sz w:val="20"/>
          <w:szCs w:val="20"/>
        </w:rPr>
      </w:pPr>
      <w:r w:rsidRPr="0043322F">
        <w:rPr>
          <w:rFonts w:asciiTheme="majorHAnsi" w:eastAsia="Times New Roman" w:hAnsiTheme="majorHAnsi" w:cs="Helvetica"/>
          <w:sz w:val="20"/>
          <w:szCs w:val="20"/>
        </w:rPr>
        <w:t>Degas function for highly efficient acceleration of the degassing process in the cleaning liquid, particularly in freshly mixed baths</w:t>
      </w:r>
    </w:p>
    <w:p w:rsidR="0043322F" w:rsidRPr="00501165" w:rsidRDefault="0043322F">
      <w:pPr>
        <w:rPr>
          <w:rFonts w:asciiTheme="majorHAnsi" w:hAnsiTheme="majorHAnsi"/>
          <w:b/>
          <w:noProof/>
          <w:sz w:val="20"/>
          <w:szCs w:val="20"/>
        </w:rPr>
      </w:pPr>
    </w:p>
    <w:p w:rsidR="00431AE3" w:rsidRPr="00501165" w:rsidRDefault="00431AE3">
      <w:pPr>
        <w:rPr>
          <w:rFonts w:asciiTheme="majorHAnsi" w:hAnsiTheme="majorHAnsi"/>
          <w:b/>
          <w:noProof/>
          <w:sz w:val="20"/>
          <w:szCs w:val="20"/>
        </w:rPr>
      </w:pPr>
      <w:r w:rsidRPr="00501165">
        <w:rPr>
          <w:rFonts w:asciiTheme="majorHAnsi" w:hAnsiTheme="majorHAnsi"/>
          <w:b/>
          <w:noProof/>
          <w:sz w:val="20"/>
          <w:szCs w:val="20"/>
        </w:rPr>
        <w:t>TECHNICAL DATA</w:t>
      </w:r>
    </w:p>
    <w:p w:rsidR="00431AE3" w:rsidRPr="00501165" w:rsidRDefault="00431AE3" w:rsidP="00431AE3">
      <w:pPr>
        <w:shd w:val="clear" w:color="auto" w:fill="FFFFFF"/>
        <w:spacing w:after="72" w:line="240" w:lineRule="auto"/>
        <w:outlineLvl w:val="3"/>
        <w:rPr>
          <w:rFonts w:asciiTheme="majorHAnsi" w:eastAsia="Times New Roman" w:hAnsiTheme="majorHAnsi" w:cs="Helvetica"/>
          <w:b/>
          <w:bCs/>
          <w:sz w:val="20"/>
          <w:szCs w:val="20"/>
        </w:rPr>
      </w:pPr>
      <w:r w:rsidRPr="00501165">
        <w:rPr>
          <w:rFonts w:asciiTheme="majorHAnsi" w:eastAsia="Times New Roman" w:hAnsiTheme="majorHAnsi" w:cs="Helvetica"/>
          <w:b/>
          <w:bCs/>
          <w:sz w:val="20"/>
          <w:szCs w:val="20"/>
        </w:rPr>
        <w:t xml:space="preserve">Measurements </w:t>
      </w:r>
      <w:r w:rsidR="0043322F" w:rsidRPr="00501165">
        <w:rPr>
          <w:rFonts w:asciiTheme="majorHAnsi" w:eastAsia="Times New Roman" w:hAnsiTheme="majorHAnsi" w:cs="Helvetica"/>
          <w:b/>
          <w:bCs/>
          <w:sz w:val="20"/>
          <w:szCs w:val="20"/>
        </w:rPr>
        <w:t>–</w:t>
      </w:r>
      <w:r w:rsidRPr="00501165">
        <w:rPr>
          <w:rFonts w:asciiTheme="majorHAnsi" w:eastAsia="Times New Roman" w:hAnsiTheme="majorHAnsi" w:cs="Helvetica"/>
          <w:b/>
          <w:bCs/>
          <w:sz w:val="20"/>
          <w:szCs w:val="20"/>
        </w:rPr>
        <w:t xml:space="preserve"> </w:t>
      </w:r>
      <w:r w:rsidR="00373C8E" w:rsidRPr="00501165">
        <w:rPr>
          <w:rFonts w:asciiTheme="majorHAnsi" w:eastAsia="Times New Roman" w:hAnsiTheme="majorHAnsi" w:cs="Helvetica"/>
          <w:b/>
          <w:bCs/>
          <w:sz w:val="20"/>
          <w:szCs w:val="20"/>
        </w:rPr>
        <w:t>I</w:t>
      </w:r>
      <w:r w:rsidRPr="00501165">
        <w:rPr>
          <w:rFonts w:asciiTheme="majorHAnsi" w:eastAsia="Times New Roman" w:hAnsiTheme="majorHAnsi" w:cs="Helvetica"/>
          <w:b/>
          <w:bCs/>
          <w:sz w:val="20"/>
          <w:szCs w:val="20"/>
        </w:rPr>
        <w:t>nternal</w:t>
      </w:r>
    </w:p>
    <w:tbl>
      <w:tblPr>
        <w:tblpPr w:leftFromText="180" w:rightFromText="180" w:vertAnchor="text" w:horzAnchor="margin" w:tblpXSpec="center" w:tblpY="27"/>
        <w:tblW w:w="10491" w:type="dxa"/>
        <w:tblBorders>
          <w:top w:val="single" w:sz="6" w:space="0" w:color="CCCCCC"/>
          <w:left w:val="single" w:sz="6" w:space="0" w:color="CCCCCC"/>
          <w:bottom w:val="single" w:sz="12" w:space="0" w:color="CCCCCC"/>
          <w:right w:val="single" w:sz="6" w:space="0" w:color="CCCCCC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65"/>
        <w:gridCol w:w="1686"/>
        <w:gridCol w:w="1685"/>
        <w:gridCol w:w="1685"/>
        <w:gridCol w:w="1685"/>
        <w:gridCol w:w="1685"/>
      </w:tblGrid>
      <w:tr w:rsidR="00501165" w:rsidRPr="00501165" w:rsidTr="0043322F">
        <w:trPr>
          <w:trHeight w:val="250"/>
        </w:trPr>
        <w:tc>
          <w:tcPr>
            <w:tcW w:w="0" w:type="auto"/>
            <w:shd w:val="clear" w:color="auto" w:fill="FFFFFF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501165">
              <w:rPr>
                <w:rFonts w:asciiTheme="majorHAnsi" w:eastAsia="Times New Roman" w:hAnsiTheme="majorHAnsi" w:cs="Helvetica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501165">
              <w:rPr>
                <w:rFonts w:asciiTheme="majorHAnsi" w:eastAsia="Times New Roman" w:hAnsiTheme="majorHAnsi" w:cs="Helvetica"/>
                <w:b/>
                <w:bCs/>
                <w:sz w:val="20"/>
                <w:szCs w:val="20"/>
              </w:rPr>
              <w:t>60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501165">
              <w:rPr>
                <w:rFonts w:asciiTheme="majorHAnsi" w:eastAsia="Times New Roman" w:hAnsiTheme="majorHAnsi" w:cs="Helvetica"/>
                <w:b/>
                <w:bCs/>
                <w:sz w:val="20"/>
                <w:szCs w:val="20"/>
              </w:rPr>
              <w:t>100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501165">
              <w:rPr>
                <w:rFonts w:asciiTheme="majorHAnsi" w:eastAsia="Times New Roman" w:hAnsiTheme="majorHAnsi" w:cs="Helvetica"/>
                <w:b/>
                <w:bCs/>
                <w:sz w:val="20"/>
                <w:szCs w:val="20"/>
              </w:rPr>
              <w:t>150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501165">
              <w:rPr>
                <w:rFonts w:asciiTheme="majorHAnsi" w:eastAsia="Times New Roman" w:hAnsiTheme="majorHAnsi" w:cs="Helvetica"/>
                <w:b/>
                <w:bCs/>
                <w:sz w:val="20"/>
                <w:szCs w:val="20"/>
              </w:rPr>
              <w:t>180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501165">
              <w:rPr>
                <w:rFonts w:asciiTheme="majorHAnsi" w:eastAsia="Times New Roman" w:hAnsiTheme="majorHAnsi" w:cs="Helvetica"/>
                <w:b/>
                <w:bCs/>
                <w:sz w:val="20"/>
                <w:szCs w:val="20"/>
              </w:rPr>
              <w:t>300</w:t>
            </w:r>
          </w:p>
        </w:tc>
      </w:tr>
      <w:tr w:rsidR="00501165" w:rsidRPr="00501165" w:rsidTr="0043322F">
        <w:trPr>
          <w:trHeight w:val="250"/>
        </w:trPr>
        <w:tc>
          <w:tcPr>
            <w:tcW w:w="0" w:type="auto"/>
            <w:shd w:val="clear" w:color="auto" w:fill="F2F3F6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43322F">
              <w:rPr>
                <w:rFonts w:asciiTheme="majorHAnsi" w:eastAsia="Times New Roman" w:hAnsiTheme="majorHAnsi" w:cs="Helvetica"/>
                <w:sz w:val="20"/>
                <w:szCs w:val="20"/>
              </w:rPr>
              <w:t>Capacity (liters)</w:t>
            </w:r>
          </w:p>
        </w:tc>
        <w:tc>
          <w:tcPr>
            <w:tcW w:w="0" w:type="auto"/>
            <w:shd w:val="clear" w:color="auto" w:fill="F2F3F6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43322F">
              <w:rPr>
                <w:rFonts w:asciiTheme="majorHAnsi" w:eastAsia="Times New Roman" w:hAnsiTheme="majorHAnsi" w:cs="Helvetica"/>
                <w:sz w:val="20"/>
                <w:szCs w:val="20"/>
              </w:rPr>
              <w:t>6</w:t>
            </w:r>
          </w:p>
        </w:tc>
        <w:tc>
          <w:tcPr>
            <w:tcW w:w="0" w:type="auto"/>
            <w:shd w:val="clear" w:color="auto" w:fill="F2F3F6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43322F">
              <w:rPr>
                <w:rFonts w:asciiTheme="majorHAnsi" w:eastAsia="Times New Roman" w:hAnsiTheme="majorHAnsi" w:cs="Helvetica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F2F3F6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43322F">
              <w:rPr>
                <w:rFonts w:asciiTheme="majorHAnsi" w:eastAsia="Times New Roman" w:hAnsiTheme="majorHAnsi" w:cs="Helvetica"/>
                <w:sz w:val="20"/>
                <w:szCs w:val="20"/>
              </w:rPr>
              <w:t>14</w:t>
            </w:r>
          </w:p>
        </w:tc>
        <w:tc>
          <w:tcPr>
            <w:tcW w:w="0" w:type="auto"/>
            <w:shd w:val="clear" w:color="auto" w:fill="F2F3F6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43322F">
              <w:rPr>
                <w:rFonts w:asciiTheme="majorHAnsi" w:eastAsia="Times New Roman" w:hAnsiTheme="majorHAnsi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shd w:val="clear" w:color="auto" w:fill="F2F3F6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43322F">
              <w:rPr>
                <w:rFonts w:asciiTheme="majorHAnsi" w:eastAsia="Times New Roman" w:hAnsiTheme="majorHAnsi" w:cs="Helvetica"/>
                <w:sz w:val="20"/>
                <w:szCs w:val="20"/>
              </w:rPr>
              <w:t>28</w:t>
            </w:r>
          </w:p>
        </w:tc>
      </w:tr>
      <w:tr w:rsidR="00501165" w:rsidRPr="00501165" w:rsidTr="0043322F">
        <w:trPr>
          <w:trHeight w:val="250"/>
        </w:trPr>
        <w:tc>
          <w:tcPr>
            <w:tcW w:w="0" w:type="auto"/>
            <w:shd w:val="clear" w:color="auto" w:fill="FFFFFF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43322F">
              <w:rPr>
                <w:rFonts w:asciiTheme="majorHAnsi" w:eastAsia="Times New Roman" w:hAnsiTheme="majorHAnsi" w:cs="Helvetica"/>
                <w:sz w:val="20"/>
                <w:szCs w:val="20"/>
              </w:rPr>
              <w:t>Weight (kg)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43322F">
              <w:rPr>
                <w:rFonts w:asciiTheme="majorHAnsi" w:eastAsia="Times New Roman" w:hAnsiTheme="majorHAnsi" w:cs="Helvetica"/>
                <w:sz w:val="20"/>
                <w:szCs w:val="20"/>
              </w:rPr>
              <w:t>5.1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43322F">
              <w:rPr>
                <w:rFonts w:asciiTheme="majorHAnsi" w:eastAsia="Times New Roman" w:hAnsiTheme="majorHAnsi" w:cs="Helvetica"/>
                <w:sz w:val="20"/>
                <w:szCs w:val="20"/>
              </w:rPr>
              <w:t>5.9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43322F">
              <w:rPr>
                <w:rFonts w:asciiTheme="majorHAnsi" w:eastAsia="Times New Roman" w:hAnsiTheme="majorHAnsi" w:cs="Helvetica"/>
                <w:sz w:val="20"/>
                <w:szCs w:val="20"/>
              </w:rPr>
              <w:t>10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43322F">
              <w:rPr>
                <w:rFonts w:asciiTheme="majorHAnsi" w:eastAsia="Times New Roman" w:hAnsiTheme="majorHAnsi" w:cs="Helvetica"/>
                <w:sz w:val="20"/>
                <w:szCs w:val="20"/>
              </w:rPr>
              <w:t>8.5</w:t>
            </w:r>
          </w:p>
        </w:tc>
        <w:tc>
          <w:tcPr>
            <w:tcW w:w="0" w:type="auto"/>
            <w:shd w:val="clear" w:color="auto" w:fill="FFFFFF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43322F">
              <w:rPr>
                <w:rFonts w:asciiTheme="majorHAnsi" w:eastAsia="Times New Roman" w:hAnsiTheme="majorHAnsi" w:cs="Helvetica"/>
                <w:sz w:val="20"/>
                <w:szCs w:val="20"/>
              </w:rPr>
              <w:t>11</w:t>
            </w:r>
          </w:p>
        </w:tc>
      </w:tr>
      <w:tr w:rsidR="00501165" w:rsidRPr="00501165" w:rsidTr="0043322F">
        <w:trPr>
          <w:trHeight w:val="250"/>
        </w:trPr>
        <w:tc>
          <w:tcPr>
            <w:tcW w:w="0" w:type="auto"/>
            <w:shd w:val="clear" w:color="auto" w:fill="F2F3F6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43322F">
              <w:rPr>
                <w:rFonts w:asciiTheme="majorHAnsi" w:eastAsia="Times New Roman" w:hAnsiTheme="majorHAnsi" w:cs="Helvetica"/>
                <w:sz w:val="20"/>
                <w:szCs w:val="20"/>
              </w:rPr>
              <w:t xml:space="preserve">Size </w:t>
            </w:r>
            <w:proofErr w:type="spellStart"/>
            <w:r w:rsidRPr="0043322F">
              <w:rPr>
                <w:rFonts w:asciiTheme="majorHAnsi" w:eastAsia="Times New Roman" w:hAnsiTheme="majorHAnsi" w:cs="Helvetica"/>
                <w:sz w:val="20"/>
                <w:szCs w:val="20"/>
              </w:rPr>
              <w:t>LxHxW</w:t>
            </w:r>
            <w:proofErr w:type="spellEnd"/>
            <w:r w:rsidRPr="0043322F">
              <w:rPr>
                <w:rFonts w:asciiTheme="majorHAnsi" w:eastAsia="Times New Roman" w:hAnsiTheme="majorHAnsi" w:cs="Helvetica"/>
                <w:sz w:val="20"/>
                <w:szCs w:val="20"/>
              </w:rPr>
              <w:t xml:space="preserve"> (mm)</w:t>
            </w:r>
          </w:p>
        </w:tc>
        <w:tc>
          <w:tcPr>
            <w:tcW w:w="0" w:type="auto"/>
            <w:shd w:val="clear" w:color="auto" w:fill="F2F3F6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43322F">
              <w:rPr>
                <w:rFonts w:asciiTheme="majorHAnsi" w:eastAsia="Times New Roman" w:hAnsiTheme="majorHAnsi" w:cs="Helvetica"/>
                <w:sz w:val="20"/>
                <w:szCs w:val="20"/>
              </w:rPr>
              <w:t>365x186x264</w:t>
            </w:r>
          </w:p>
        </w:tc>
        <w:tc>
          <w:tcPr>
            <w:tcW w:w="0" w:type="auto"/>
            <w:shd w:val="clear" w:color="auto" w:fill="F2F3F6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43322F">
              <w:rPr>
                <w:rFonts w:asciiTheme="majorHAnsi" w:eastAsia="Times New Roman" w:hAnsiTheme="majorHAnsi" w:cs="Helvetica"/>
                <w:sz w:val="20"/>
                <w:szCs w:val="20"/>
              </w:rPr>
              <w:t>365x278x264</w:t>
            </w:r>
          </w:p>
        </w:tc>
        <w:tc>
          <w:tcPr>
            <w:tcW w:w="0" w:type="auto"/>
            <w:shd w:val="clear" w:color="auto" w:fill="F2F3F6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43322F">
              <w:rPr>
                <w:rFonts w:asciiTheme="majorHAnsi" w:eastAsia="Times New Roman" w:hAnsiTheme="majorHAnsi" w:cs="Helvetica"/>
                <w:sz w:val="20"/>
                <w:szCs w:val="20"/>
              </w:rPr>
              <w:t>568x340x224</w:t>
            </w:r>
          </w:p>
        </w:tc>
        <w:tc>
          <w:tcPr>
            <w:tcW w:w="0" w:type="auto"/>
            <w:shd w:val="clear" w:color="auto" w:fill="F2F3F6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43322F">
              <w:rPr>
                <w:rFonts w:asciiTheme="majorHAnsi" w:eastAsia="Times New Roman" w:hAnsiTheme="majorHAnsi" w:cs="Helvetica"/>
                <w:sz w:val="20"/>
                <w:szCs w:val="20"/>
              </w:rPr>
              <w:t>390x340x321</w:t>
            </w:r>
          </w:p>
        </w:tc>
        <w:tc>
          <w:tcPr>
            <w:tcW w:w="0" w:type="auto"/>
            <w:shd w:val="clear" w:color="auto" w:fill="F2F3F6"/>
            <w:tcMar>
              <w:top w:w="60" w:type="dxa"/>
              <w:left w:w="150" w:type="dxa"/>
              <w:bottom w:w="60" w:type="dxa"/>
              <w:right w:w="150" w:type="dxa"/>
            </w:tcMar>
            <w:hideMark/>
          </w:tcPr>
          <w:p w:rsidR="0043322F" w:rsidRPr="0043322F" w:rsidRDefault="0043322F" w:rsidP="0043322F">
            <w:pPr>
              <w:spacing w:after="0" w:line="240" w:lineRule="auto"/>
              <w:rPr>
                <w:rFonts w:asciiTheme="majorHAnsi" w:eastAsia="Times New Roman" w:hAnsiTheme="majorHAnsi" w:cs="Helvetica"/>
                <w:sz w:val="20"/>
                <w:szCs w:val="20"/>
              </w:rPr>
            </w:pPr>
            <w:r w:rsidRPr="0043322F">
              <w:rPr>
                <w:rFonts w:asciiTheme="majorHAnsi" w:eastAsia="Times New Roman" w:hAnsiTheme="majorHAnsi" w:cs="Helvetica"/>
                <w:sz w:val="20"/>
                <w:szCs w:val="20"/>
              </w:rPr>
              <w:t>568x340x321</w:t>
            </w:r>
          </w:p>
        </w:tc>
      </w:tr>
    </w:tbl>
    <w:p w:rsidR="0043322F" w:rsidRPr="00501165" w:rsidRDefault="0043322F" w:rsidP="00431AE3">
      <w:pPr>
        <w:shd w:val="clear" w:color="auto" w:fill="FFFFFF"/>
        <w:spacing w:after="72" w:line="240" w:lineRule="auto"/>
        <w:outlineLvl w:val="3"/>
        <w:rPr>
          <w:rFonts w:asciiTheme="majorHAnsi" w:eastAsia="Times New Roman" w:hAnsiTheme="majorHAnsi" w:cs="Helvetica"/>
          <w:b/>
          <w:bCs/>
          <w:sz w:val="20"/>
          <w:szCs w:val="20"/>
        </w:rPr>
      </w:pPr>
    </w:p>
    <w:p w:rsidR="0043322F" w:rsidRPr="00501165" w:rsidRDefault="00F323C8" w:rsidP="0043322F">
      <w:pPr>
        <w:rPr>
          <w:rFonts w:asciiTheme="majorHAnsi" w:hAnsiTheme="majorHAnsi"/>
          <w:b/>
          <w:noProof/>
          <w:sz w:val="20"/>
          <w:szCs w:val="20"/>
        </w:rPr>
      </w:pPr>
      <w:r w:rsidRPr="00501165">
        <w:rPr>
          <w:rFonts w:asciiTheme="majorHAnsi" w:hAnsiTheme="majorHAnsi"/>
          <w:b/>
          <w:noProof/>
          <w:sz w:val="20"/>
          <w:szCs w:val="20"/>
        </w:rPr>
        <w:t>PICTURES</w:t>
      </w:r>
    </w:p>
    <w:p w:rsidR="00431AE3" w:rsidRPr="00501165" w:rsidRDefault="0043322F" w:rsidP="0043322F">
      <w:pPr>
        <w:rPr>
          <w:rFonts w:asciiTheme="majorHAnsi" w:hAnsiTheme="majorHAnsi"/>
          <w:noProof/>
          <w:sz w:val="20"/>
          <w:szCs w:val="20"/>
        </w:rPr>
      </w:pPr>
      <w:r w:rsidRPr="00501165">
        <w:rPr>
          <w:rFonts w:asciiTheme="majorHAnsi" w:hAnsiTheme="majorHAnsi"/>
          <w:noProof/>
          <w:sz w:val="20"/>
          <w:szCs w:val="20"/>
        </w:rPr>
        <w:drawing>
          <wp:inline distT="0" distB="0" distL="0" distR="0">
            <wp:extent cx="2033517" cy="1405255"/>
            <wp:effectExtent l="0" t="0" r="5080" b="4445"/>
            <wp:docPr id="4" name="Picture 4" descr="http://www.getinge.com/scaled/HC/products/cleaning-disinfection/cleaning-area/ultrasonic-cleaners/pics/getinge-ultrasonics-main-400x320px-width4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etinge.com/scaled/HC/products/cleaning-disinfection/cleaning-area/ultrasonic-cleaners/pics/getinge-ultrasonics-main-400x320px-width46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2483" cy="14252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31AE3" w:rsidRPr="00501165">
        <w:rPr>
          <w:rFonts w:asciiTheme="majorHAnsi" w:hAnsiTheme="majorHAnsi"/>
          <w:noProof/>
          <w:sz w:val="20"/>
          <w:szCs w:val="20"/>
        </w:rPr>
        <w:t xml:space="preserve">  </w:t>
      </w:r>
      <w:r w:rsidRPr="00501165">
        <w:rPr>
          <w:rFonts w:asciiTheme="majorHAnsi" w:hAnsiTheme="majorHAnsi"/>
          <w:noProof/>
          <w:sz w:val="20"/>
          <w:szCs w:val="20"/>
        </w:rPr>
        <w:drawing>
          <wp:inline distT="0" distB="0" distL="0" distR="0" wp14:anchorId="67028F7D" wp14:editId="684799DB">
            <wp:extent cx="1965278" cy="1377950"/>
            <wp:effectExtent l="0" t="0" r="0" b="0"/>
            <wp:docPr id="6" name="Picture 6" descr="http://www.getinge.com/scaled/HC/products/cleaning-disinfection/cleaning-area/ultrasonic-cleaners/pics/getinge-ultrasonics-300-400x320px-width4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getinge.com/scaled/HC/products/cleaning-disinfection/cleaning-area/ultrasonic-cleaners/pics/getinge-ultrasonics-300-400x320px-width46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73" t="13901" r="10729" b="7154"/>
                    <a:stretch/>
                  </pic:blipFill>
                  <pic:spPr bwMode="auto">
                    <a:xfrm>
                      <a:off x="0" y="0"/>
                      <a:ext cx="1986977" cy="139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01165">
        <w:rPr>
          <w:rFonts w:asciiTheme="majorHAnsi" w:hAnsiTheme="majorHAnsi"/>
          <w:noProof/>
          <w:sz w:val="20"/>
          <w:szCs w:val="20"/>
        </w:rPr>
        <w:tab/>
      </w:r>
      <w:r w:rsidRPr="00501165">
        <w:rPr>
          <w:rFonts w:asciiTheme="majorHAnsi" w:hAnsiTheme="majorHAnsi"/>
          <w:noProof/>
          <w:sz w:val="20"/>
          <w:szCs w:val="20"/>
        </w:rPr>
        <w:drawing>
          <wp:inline distT="0" distB="0" distL="0" distR="0">
            <wp:extent cx="2132760" cy="1419368"/>
            <wp:effectExtent l="0" t="0" r="1270" b="0"/>
            <wp:docPr id="7" name="Picture 7" descr="http://www.getinge.com/scaled/HC/products/cleaning-disinfection/cleaning-area/ultrasonic-cleaners/pics/getinge-ultrasonics-overwiev-400x320px-width4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getinge.com/scaled/HC/products/cleaning-disinfection/cleaning-area/ultrasonic-cleaners/pics/getinge-ultrasonics-overwiev-400x320px-width46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143" r="-724"/>
                    <a:stretch/>
                  </pic:blipFill>
                  <pic:spPr bwMode="auto">
                    <a:xfrm>
                      <a:off x="0" y="0"/>
                      <a:ext cx="2155516" cy="1434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501165">
        <w:rPr>
          <w:rFonts w:asciiTheme="majorHAnsi" w:hAnsiTheme="majorHAnsi"/>
          <w:sz w:val="20"/>
          <w:szCs w:val="20"/>
        </w:rPr>
        <w:t xml:space="preserve"> </w:t>
      </w:r>
      <w:r w:rsidRPr="00501165">
        <w:rPr>
          <w:rFonts w:asciiTheme="majorHAnsi" w:hAnsiTheme="majorHAnsi"/>
          <w:noProof/>
          <w:sz w:val="20"/>
          <w:szCs w:val="20"/>
        </w:rPr>
        <w:drawing>
          <wp:inline distT="0" distB="0" distL="0" distR="0">
            <wp:extent cx="1978926" cy="1419225"/>
            <wp:effectExtent l="0" t="0" r="2540" b="0"/>
            <wp:docPr id="8" name="Picture 8" descr="http://www.getinge.com/scaled/HC/products/cleaning-disinfection/cleaning-area/ultrasonic-cleaners/pics/getinge-ultrasonics-400x320px-width46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getinge.com/scaled/HC/products/cleaning-disinfection/cleaning-area/ultrasonic-cleaners/pics/getinge-ultrasonics-400x320px-width46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161" cy="1448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0426" w:rsidRPr="00501165" w:rsidRDefault="00BB2069" w:rsidP="00440426">
      <w:pPr>
        <w:jc w:val="center"/>
        <w:rPr>
          <w:rFonts w:asciiTheme="majorHAnsi" w:hAnsiTheme="majorHAnsi" w:cs="Helvetica"/>
          <w:b/>
          <w:bCs/>
          <w:sz w:val="20"/>
          <w:szCs w:val="20"/>
        </w:rPr>
      </w:pPr>
      <w:r w:rsidRPr="00501165">
        <w:rPr>
          <w:rFonts w:asciiTheme="majorHAnsi" w:hAnsiTheme="majorHAnsi" w:cs="Helvetica"/>
          <w:b/>
          <w:bCs/>
          <w:sz w:val="20"/>
          <w:szCs w:val="20"/>
        </w:rPr>
        <w:t xml:space="preserve">Getinge </w:t>
      </w:r>
      <w:r w:rsidR="0043322F" w:rsidRPr="00501165">
        <w:rPr>
          <w:rFonts w:asciiTheme="majorHAnsi" w:hAnsiTheme="majorHAnsi" w:cs="Helvetica"/>
          <w:b/>
          <w:bCs/>
          <w:sz w:val="20"/>
          <w:szCs w:val="20"/>
        </w:rPr>
        <w:t>Ultrasonic Cleaner</w:t>
      </w:r>
    </w:p>
    <w:sectPr w:rsidR="00440426" w:rsidRPr="005011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91167D"/>
    <w:multiLevelType w:val="multilevel"/>
    <w:tmpl w:val="CF6C0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701B4F"/>
    <w:multiLevelType w:val="multilevel"/>
    <w:tmpl w:val="DD080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AE3"/>
    <w:rsid w:val="00025E26"/>
    <w:rsid w:val="00373C8E"/>
    <w:rsid w:val="003D55E7"/>
    <w:rsid w:val="00431AE3"/>
    <w:rsid w:val="0043322F"/>
    <w:rsid w:val="00440426"/>
    <w:rsid w:val="00501165"/>
    <w:rsid w:val="008D2DFF"/>
    <w:rsid w:val="00BB2069"/>
    <w:rsid w:val="00C510FA"/>
    <w:rsid w:val="00D430BA"/>
    <w:rsid w:val="00F323C8"/>
    <w:rsid w:val="00FD0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AEE8911-9464-4588-BE5D-356B622C0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431AE3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31A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31AE3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31AE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1AE3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DefaultParagraphFont"/>
    <w:rsid w:val="00F323C8"/>
  </w:style>
  <w:style w:type="character" w:styleId="Strong">
    <w:name w:val="Strong"/>
    <w:basedOn w:val="DefaultParagraphFont"/>
    <w:uiPriority w:val="22"/>
    <w:qFormat/>
    <w:rsid w:val="0043322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445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7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3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06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Chinonso Ugwuneri</dc:creator>
  <cp:keywords/>
  <dc:description/>
  <cp:lastModifiedBy>Chinonso Ugwuneri</cp:lastModifiedBy>
  <cp:revision>9</cp:revision>
  <dcterms:created xsi:type="dcterms:W3CDTF">2016-08-08T15:43:00Z</dcterms:created>
  <dcterms:modified xsi:type="dcterms:W3CDTF">2017-02-15T14:14:00Z</dcterms:modified>
</cp:coreProperties>
</file>